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A4195E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09D34546" w14:textId="67D4F51B" w:rsidR="00BB05B5" w:rsidRDefault="0045580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455805">
        <w:rPr>
          <w:rFonts w:ascii="Arial" w:hAnsi="Arial" w:cs="Arial"/>
          <w:b/>
          <w:bCs/>
          <w:sz w:val="24"/>
          <w:szCs w:val="24"/>
        </w:rPr>
        <w:t>Кабель CabelTorg GYXTS 08F (SM) волоконно-оптический — одномодовый</w:t>
      </w:r>
    </w:p>
    <w:p w14:paraId="6FCC0AD6" w14:textId="77777777" w:rsidR="00455805" w:rsidRDefault="0045580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1A605997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8-ми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170AEEC1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49B7A4F3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EA5D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A5DE2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9B026A" w:rsidRPr="00BC0489" w14:paraId="723C2C9B" w14:textId="77777777" w:rsidTr="005759F4">
        <w:tc>
          <w:tcPr>
            <w:tcW w:w="4672" w:type="dxa"/>
            <w:shd w:val="clear" w:color="auto" w:fill="F8FAFF"/>
          </w:tcPr>
          <w:p w14:paraId="5DF01956" w14:textId="09882EDF" w:rsidR="009B026A" w:rsidRPr="00455805" w:rsidRDefault="009B026A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5F08DE11" w14:textId="20120CA8" w:rsidR="009B026A" w:rsidRPr="009B026A" w:rsidRDefault="009B026A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269C" w14:textId="77777777" w:rsidR="00A4195E" w:rsidRDefault="00A4195E" w:rsidP="00844757">
      <w:pPr>
        <w:spacing w:after="0" w:line="240" w:lineRule="auto"/>
      </w:pPr>
      <w:r>
        <w:separator/>
      </w:r>
    </w:p>
  </w:endnote>
  <w:endnote w:type="continuationSeparator" w:id="0">
    <w:p w14:paraId="6D22020F" w14:textId="77777777" w:rsidR="00A4195E" w:rsidRDefault="00A4195E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47EE" w14:textId="77777777" w:rsidR="00A4195E" w:rsidRDefault="00A4195E" w:rsidP="00844757">
      <w:pPr>
        <w:spacing w:after="0" w:line="240" w:lineRule="auto"/>
      </w:pPr>
      <w:r>
        <w:separator/>
      </w:r>
    </w:p>
  </w:footnote>
  <w:footnote w:type="continuationSeparator" w:id="0">
    <w:p w14:paraId="4748D9E3" w14:textId="77777777" w:rsidR="00A4195E" w:rsidRDefault="00A4195E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MZ8B7e+7FVRQPYg+VFyYMsgw9fI4EJ5fWQ9udirxqpQvGnKFIXNVUW0xfNk+J+HwUj+6QxPKs20/hnDgJn8Q6g==" w:salt="NoBZLVaBHWG797Bwd+RC1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16974"/>
    <w:rsid w:val="002A7CA5"/>
    <w:rsid w:val="002B3680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51277F"/>
    <w:rsid w:val="00531CAD"/>
    <w:rsid w:val="005447ED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44757"/>
    <w:rsid w:val="00873132"/>
    <w:rsid w:val="0094541A"/>
    <w:rsid w:val="00957A3C"/>
    <w:rsid w:val="009725C4"/>
    <w:rsid w:val="009B026A"/>
    <w:rsid w:val="00A11290"/>
    <w:rsid w:val="00A11FCE"/>
    <w:rsid w:val="00A4195E"/>
    <w:rsid w:val="00A509A2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D16B8D"/>
    <w:rsid w:val="00D4766E"/>
    <w:rsid w:val="00E11931"/>
    <w:rsid w:val="00EA2242"/>
    <w:rsid w:val="00EA5DE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228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53</cp:revision>
  <dcterms:created xsi:type="dcterms:W3CDTF">2026-01-05T11:13:00Z</dcterms:created>
  <dcterms:modified xsi:type="dcterms:W3CDTF">2026-03-03T06:18:00Z</dcterms:modified>
</cp:coreProperties>
</file>